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CD56C">
      <w:pPr>
        <w:pStyle w:val="3"/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  <w:outlineLvl w:val="0"/>
        <w:rPr>
          <w:rFonts w:ascii="Times New Roman" w:hAnsi="Times New Roman" w:eastAsia="黑体"/>
          <w:b/>
          <w:bCs/>
          <w:spacing w:val="-10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10"/>
          <w:kern w:val="0"/>
          <w:sz w:val="32"/>
          <w:szCs w:val="32"/>
        </w:rPr>
        <w:t>附件3</w:t>
      </w:r>
    </w:p>
    <w:p w14:paraId="542F63A2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center"/>
        <w:textAlignment w:val="auto"/>
        <w:rPr>
          <w:rFonts w:ascii="Times New Roman" w:hAnsi="Times New Roman" w:eastAsia="方正小标宋_GBK" w:cs="Times New Roman"/>
          <w:kern w:val="0"/>
          <w:sz w:val="44"/>
          <w:szCs w:val="44"/>
        </w:rPr>
      </w:pPr>
    </w:p>
    <w:p w14:paraId="69265DC5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center"/>
        <w:textAlignment w:val="auto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kern w:val="0"/>
          <w:sz w:val="44"/>
          <w:szCs w:val="44"/>
        </w:rPr>
        <w:t>“成都礼物”文化旅游产品评选自评表</w:t>
      </w:r>
    </w:p>
    <w:p w14:paraId="6CD01B88">
      <w:pPr>
        <w:pStyle w:val="2"/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  <w:rPr>
          <w:rFonts w:ascii="方正楷体_GBK" w:hAnsi="方正楷体_GBK" w:eastAsia="方正楷体_GBK" w:cs="方正楷体_GBK"/>
          <w:color w:val="auto"/>
          <w:sz w:val="32"/>
          <w:szCs w:val="32"/>
        </w:rPr>
      </w:pPr>
    </w:p>
    <w:p w14:paraId="05874A00">
      <w:pPr>
        <w:pStyle w:val="2"/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center"/>
        <w:textAlignment w:val="auto"/>
        <w:rPr>
          <w:rFonts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表一：所有产品</w:t>
      </w:r>
    </w:p>
    <w:tbl>
      <w:tblPr>
        <w:tblStyle w:val="4"/>
        <w:tblpPr w:leftFromText="180" w:rightFromText="180" w:vertAnchor="text" w:horzAnchor="page" w:tblpXSpec="center" w:tblpY="112"/>
        <w:tblOverlap w:val="never"/>
        <w:tblW w:w="927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9"/>
        <w:gridCol w:w="7351"/>
        <w:gridCol w:w="1119"/>
      </w:tblGrid>
      <w:tr w14:paraId="1211D4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809" w:type="dxa"/>
            <w:noWrap w:val="0"/>
            <w:vAlign w:val="center"/>
          </w:tcPr>
          <w:p w14:paraId="4F3FDA6A">
            <w:pPr>
              <w:pStyle w:val="6"/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序号</w:t>
            </w:r>
          </w:p>
        </w:tc>
        <w:tc>
          <w:tcPr>
            <w:tcW w:w="7351" w:type="dxa"/>
            <w:noWrap w:val="0"/>
            <w:vAlign w:val="top"/>
          </w:tcPr>
          <w:p w14:paraId="27678ABD">
            <w:pPr>
              <w:pStyle w:val="6"/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必备指标项</w:t>
            </w:r>
          </w:p>
        </w:tc>
        <w:tc>
          <w:tcPr>
            <w:tcW w:w="1119" w:type="dxa"/>
            <w:noWrap w:val="0"/>
            <w:vAlign w:val="top"/>
          </w:tcPr>
          <w:p w14:paraId="545D349C">
            <w:pPr>
              <w:pStyle w:val="6"/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是否达标</w:t>
            </w:r>
          </w:p>
        </w:tc>
      </w:tr>
      <w:tr w14:paraId="52E69C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  <w:jc w:val="center"/>
        </w:trPr>
        <w:tc>
          <w:tcPr>
            <w:tcW w:w="809" w:type="dxa"/>
            <w:noWrap w:val="0"/>
            <w:vAlign w:val="center"/>
          </w:tcPr>
          <w:p w14:paraId="1C325C31">
            <w:pPr>
              <w:pStyle w:val="6"/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1</w:t>
            </w:r>
          </w:p>
        </w:tc>
        <w:tc>
          <w:tcPr>
            <w:tcW w:w="7351" w:type="dxa"/>
            <w:noWrap w:val="0"/>
            <w:vAlign w:val="top"/>
          </w:tcPr>
          <w:p w14:paraId="0153CB78">
            <w:pPr>
              <w:pStyle w:val="6"/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</w:rPr>
              <w:t>符合社会主义核心价值观，兼具思想性与艺术性。</w:t>
            </w:r>
          </w:p>
        </w:tc>
        <w:tc>
          <w:tcPr>
            <w:tcW w:w="1119" w:type="dxa"/>
            <w:noWrap w:val="0"/>
            <w:vAlign w:val="top"/>
          </w:tcPr>
          <w:p w14:paraId="79BB292F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15F39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809" w:type="dxa"/>
            <w:noWrap w:val="0"/>
            <w:vAlign w:val="center"/>
          </w:tcPr>
          <w:p w14:paraId="086B6962">
            <w:pPr>
              <w:pStyle w:val="6"/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2</w:t>
            </w:r>
          </w:p>
        </w:tc>
        <w:tc>
          <w:tcPr>
            <w:tcW w:w="7351" w:type="dxa"/>
            <w:noWrap w:val="0"/>
            <w:vAlign w:val="top"/>
          </w:tcPr>
          <w:p w14:paraId="3EA46EEB">
            <w:pPr>
              <w:pStyle w:val="6"/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</w:rPr>
              <w:t>具备文化创意和成都地域特色，能够展示成都的城市文化、历史底蕴、传统技艺或其他地域特色元素。</w:t>
            </w:r>
          </w:p>
        </w:tc>
        <w:tc>
          <w:tcPr>
            <w:tcW w:w="1119" w:type="dxa"/>
            <w:noWrap w:val="0"/>
            <w:vAlign w:val="top"/>
          </w:tcPr>
          <w:p w14:paraId="2E8C9E44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0E6850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809" w:type="dxa"/>
            <w:noWrap w:val="0"/>
            <w:vAlign w:val="center"/>
          </w:tcPr>
          <w:p w14:paraId="00E0E572">
            <w:pPr>
              <w:pStyle w:val="6"/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3</w:t>
            </w:r>
          </w:p>
        </w:tc>
        <w:tc>
          <w:tcPr>
            <w:tcW w:w="7351" w:type="dxa"/>
            <w:noWrap w:val="0"/>
            <w:vAlign w:val="top"/>
          </w:tcPr>
          <w:p w14:paraId="77D220DE">
            <w:pPr>
              <w:pStyle w:val="6"/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</w:rPr>
              <w:t>符合国家或行业的相关质量标准，确保产品质量和安全性。</w:t>
            </w:r>
          </w:p>
        </w:tc>
        <w:tc>
          <w:tcPr>
            <w:tcW w:w="1119" w:type="dxa"/>
            <w:noWrap w:val="0"/>
            <w:vAlign w:val="top"/>
          </w:tcPr>
          <w:p w14:paraId="7EB49053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7CE6DE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809" w:type="dxa"/>
            <w:noWrap w:val="0"/>
            <w:vAlign w:val="center"/>
          </w:tcPr>
          <w:p w14:paraId="2C3346ED">
            <w:pPr>
              <w:pStyle w:val="6"/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4</w:t>
            </w:r>
          </w:p>
        </w:tc>
        <w:tc>
          <w:tcPr>
            <w:tcW w:w="7351" w:type="dxa"/>
            <w:noWrap w:val="0"/>
            <w:vAlign w:val="top"/>
          </w:tcPr>
          <w:p w14:paraId="1C249BF4">
            <w:pPr>
              <w:pStyle w:val="6"/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</w:rPr>
              <w:t>拥有合法的商标权等知识产权，不涉及侵权、抄袭等违法行为；不涉及违法或有害内容</w:t>
            </w:r>
          </w:p>
        </w:tc>
        <w:tc>
          <w:tcPr>
            <w:tcW w:w="1119" w:type="dxa"/>
            <w:noWrap w:val="0"/>
            <w:vAlign w:val="top"/>
          </w:tcPr>
          <w:p w14:paraId="1896EA60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</w:tc>
      </w:tr>
    </w:tbl>
    <w:p w14:paraId="06987474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</w:pPr>
    </w:p>
    <w:p w14:paraId="3755FCAE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方正仿宋_GBK" w:cs="Times New Roman"/>
          <w:kern w:val="0"/>
          <w:sz w:val="28"/>
          <w:szCs w:val="28"/>
        </w:rPr>
        <w:t>注：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28"/>
          <w:szCs w:val="28"/>
        </w:rPr>
        <w:t>申报产品所属类别：________（从六类：文博文化类 / 非遗时尚类 / 潮流玩具类 / 智慧科技类 / 蓉味手信类 / 其他，选择填写）</w:t>
      </w:r>
    </w:p>
    <w:p w14:paraId="59A0EA66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left"/>
        <w:textAlignment w:val="auto"/>
        <w:rPr>
          <w:rFonts w:ascii="宋体" w:hAnsi="宋体" w:eastAsia="宋体" w:cs="宋体"/>
          <w:sz w:val="24"/>
          <w:szCs w:val="24"/>
        </w:rPr>
      </w:pPr>
    </w:p>
    <w:p w14:paraId="4401413F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left"/>
        <w:textAlignment w:val="auto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kern w:val="0"/>
          <w:sz w:val="28"/>
          <w:szCs w:val="28"/>
        </w:rPr>
        <w:t>表一为必填项，表二</w:t>
      </w:r>
      <w:r>
        <w:rPr>
          <w:rFonts w:hint="eastAsia" w:ascii="Times New Roman" w:hAnsi="Times New Roman" w:eastAsia="方正仿宋_GBK" w:cs="Times New Roman"/>
          <w:kern w:val="0"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kern w:val="0"/>
          <w:sz w:val="28"/>
          <w:szCs w:val="28"/>
        </w:rPr>
        <w:t>表三</w:t>
      </w:r>
      <w:r>
        <w:rPr>
          <w:rFonts w:hint="eastAsia" w:ascii="Times New Roman" w:hAnsi="Times New Roman" w:eastAsia="方正仿宋_GBK" w:cs="Times New Roman"/>
          <w:kern w:val="0"/>
          <w:sz w:val="28"/>
          <w:szCs w:val="28"/>
          <w:lang w:eastAsia="zh-CN"/>
        </w:rPr>
        <w:t>、表四</w:t>
      </w:r>
      <w:r>
        <w:rPr>
          <w:rFonts w:hint="eastAsia" w:ascii="Times New Roman" w:hAnsi="Times New Roman" w:eastAsia="方正仿宋_GBK" w:cs="Times New Roman"/>
          <w:kern w:val="0"/>
          <w:sz w:val="28"/>
          <w:szCs w:val="28"/>
        </w:rPr>
        <w:t>根据产品类别选填其一，自评分数需提供对应佐证材料。</w:t>
      </w:r>
    </w:p>
    <w:p w14:paraId="629EDB0B">
      <w:pPr>
        <w:pStyle w:val="2"/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center"/>
        <w:textAlignment w:val="auto"/>
        <w:rPr>
          <w:rFonts w:ascii="方正仿宋_GBK" w:hAnsi="方正仿宋_GBK" w:eastAsia="方正仿宋_GBK" w:cs="方正仿宋_GBK"/>
          <w:color w:val="auto"/>
          <w:sz w:val="32"/>
          <w:szCs w:val="32"/>
        </w:rPr>
      </w:pPr>
    </w:p>
    <w:p w14:paraId="071076AF">
      <w:pPr>
        <w:pStyle w:val="2"/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both"/>
        <w:textAlignment w:val="auto"/>
        <w:rPr>
          <w:rFonts w:ascii="方正仿宋_GBK" w:hAnsi="方正仿宋_GBK" w:eastAsia="方正仿宋_GBK" w:cs="方正仿宋_GBK"/>
          <w:color w:val="auto"/>
          <w:sz w:val="32"/>
          <w:szCs w:val="32"/>
        </w:rPr>
      </w:pPr>
    </w:p>
    <w:p w14:paraId="56088407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</w:pPr>
    </w:p>
    <w:p w14:paraId="5D7FC7A7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</w:pPr>
    </w:p>
    <w:p w14:paraId="5450F9B6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</w:pPr>
    </w:p>
    <w:p w14:paraId="37F4F44F">
      <w:pPr>
        <w:pStyle w:val="2"/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center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表二：大众产品类</w:t>
      </w:r>
    </w:p>
    <w:tbl>
      <w:tblPr>
        <w:tblStyle w:val="4"/>
        <w:tblpPr w:leftFromText="180" w:rightFromText="180" w:vertAnchor="text" w:horzAnchor="page" w:tblpXSpec="center" w:tblpY="601"/>
        <w:tblOverlap w:val="never"/>
        <w:tblW w:w="939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8"/>
        <w:gridCol w:w="5527"/>
        <w:gridCol w:w="881"/>
        <w:gridCol w:w="881"/>
        <w:gridCol w:w="883"/>
      </w:tblGrid>
      <w:tr w14:paraId="3F9D86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1218" w:type="dxa"/>
            <w:noWrap w:val="0"/>
            <w:vAlign w:val="center"/>
          </w:tcPr>
          <w:p w14:paraId="701B723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评定项目</w:t>
            </w:r>
          </w:p>
        </w:tc>
        <w:tc>
          <w:tcPr>
            <w:tcW w:w="5527" w:type="dxa"/>
            <w:noWrap w:val="0"/>
            <w:vAlign w:val="center"/>
          </w:tcPr>
          <w:p w14:paraId="738DB15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评分标准</w:t>
            </w:r>
          </w:p>
        </w:tc>
        <w:tc>
          <w:tcPr>
            <w:tcW w:w="881" w:type="dxa"/>
            <w:noWrap w:val="0"/>
            <w:vAlign w:val="center"/>
          </w:tcPr>
          <w:p w14:paraId="0EE5758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赋分</w:t>
            </w:r>
          </w:p>
        </w:tc>
        <w:tc>
          <w:tcPr>
            <w:tcW w:w="881" w:type="dxa"/>
            <w:noWrap w:val="0"/>
            <w:vAlign w:val="center"/>
          </w:tcPr>
          <w:p w14:paraId="75FFD3A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得分</w:t>
            </w:r>
          </w:p>
        </w:tc>
        <w:tc>
          <w:tcPr>
            <w:tcW w:w="883" w:type="dxa"/>
            <w:noWrap w:val="0"/>
            <w:vAlign w:val="center"/>
          </w:tcPr>
          <w:p w14:paraId="1077C04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佐证材料</w:t>
            </w:r>
          </w:p>
        </w:tc>
      </w:tr>
      <w:tr w14:paraId="3576E8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7" w:hRule="atLeast"/>
          <w:jc w:val="center"/>
        </w:trPr>
        <w:tc>
          <w:tcPr>
            <w:tcW w:w="1218" w:type="dxa"/>
            <w:noWrap w:val="0"/>
            <w:vAlign w:val="center"/>
          </w:tcPr>
          <w:p w14:paraId="73DA6AD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获奖情况</w:t>
            </w:r>
          </w:p>
        </w:tc>
        <w:tc>
          <w:tcPr>
            <w:tcW w:w="5527" w:type="dxa"/>
            <w:noWrap w:val="0"/>
            <w:vAlign w:val="center"/>
          </w:tcPr>
          <w:p w14:paraId="430D7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申报产品获国家级及以上奖项，包括但不限于国家级工艺美术奖、非遗传承类奖项、文化和旅游部权威奖项、国际知名赛事或展览奖等，最高奖项（10分）、其他奖项（8分）；</w:t>
            </w:r>
          </w:p>
          <w:p w14:paraId="18968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申报产品获省级上述类奖项，最高奖项（6分）、其他奖项（4分）；</w:t>
            </w:r>
          </w:p>
          <w:p w14:paraId="63A31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申报产品获市级上述类奖项，最高奖项（2分）。</w:t>
            </w:r>
          </w:p>
        </w:tc>
        <w:tc>
          <w:tcPr>
            <w:tcW w:w="881" w:type="dxa"/>
            <w:noWrap w:val="0"/>
            <w:vAlign w:val="center"/>
          </w:tcPr>
          <w:p w14:paraId="13CAF3D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0"/>
                <w:szCs w:val="16"/>
              </w:rPr>
              <w:t>10</w:t>
            </w:r>
          </w:p>
        </w:tc>
        <w:tc>
          <w:tcPr>
            <w:tcW w:w="881" w:type="dxa"/>
            <w:noWrap w:val="0"/>
            <w:vAlign w:val="center"/>
          </w:tcPr>
          <w:p w14:paraId="47C46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883" w:type="dxa"/>
            <w:noWrap w:val="0"/>
            <w:vAlign w:val="center"/>
          </w:tcPr>
          <w:p w14:paraId="0E8E9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材料1</w:t>
            </w:r>
          </w:p>
          <w:p w14:paraId="10942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材料2</w:t>
            </w:r>
          </w:p>
          <w:p w14:paraId="0EEE9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……</w:t>
            </w:r>
          </w:p>
          <w:p w14:paraId="43565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</w:tr>
      <w:tr w14:paraId="7040DA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18" w:type="dxa"/>
            <w:noWrap w:val="0"/>
            <w:vAlign w:val="center"/>
          </w:tcPr>
          <w:p w14:paraId="795AAE0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市级以上外交外事礼品</w:t>
            </w:r>
          </w:p>
        </w:tc>
        <w:tc>
          <w:tcPr>
            <w:tcW w:w="5527" w:type="dxa"/>
            <w:noWrap w:val="0"/>
            <w:vAlign w:val="center"/>
          </w:tcPr>
          <w:p w14:paraId="5ABB6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国家级外事外交礼品（入选国家级采购清单或成为国家级涉外活动专用外交礼品）（5分）；</w:t>
            </w:r>
          </w:p>
          <w:p w14:paraId="7FE1B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省级外事外交礼品（包括但不限于省级采购清单或成为涉外活动专用外交礼品）（3分）；</w:t>
            </w:r>
          </w:p>
          <w:p w14:paraId="03622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市级外事外交礼品（包括但不限于市级采购清单或成为涉外活动专用外交礼品）（2分）；</w:t>
            </w:r>
          </w:p>
        </w:tc>
        <w:tc>
          <w:tcPr>
            <w:tcW w:w="881" w:type="dxa"/>
            <w:noWrap w:val="0"/>
            <w:vAlign w:val="center"/>
          </w:tcPr>
          <w:p w14:paraId="6741416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5</w:t>
            </w:r>
          </w:p>
        </w:tc>
        <w:tc>
          <w:tcPr>
            <w:tcW w:w="881" w:type="dxa"/>
            <w:noWrap w:val="0"/>
            <w:vAlign w:val="center"/>
          </w:tcPr>
          <w:p w14:paraId="3D7A8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883" w:type="dxa"/>
            <w:noWrap w:val="0"/>
            <w:vAlign w:val="center"/>
          </w:tcPr>
          <w:p w14:paraId="1BF2A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材料3</w:t>
            </w:r>
          </w:p>
          <w:p w14:paraId="2C920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材料4</w:t>
            </w:r>
          </w:p>
          <w:p w14:paraId="7ED53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……</w:t>
            </w:r>
          </w:p>
          <w:p w14:paraId="45E81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</w:tr>
      <w:tr w14:paraId="0488AF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  <w:jc w:val="center"/>
        </w:trPr>
        <w:tc>
          <w:tcPr>
            <w:tcW w:w="1218" w:type="dxa"/>
            <w:vMerge w:val="restart"/>
            <w:noWrap w:val="0"/>
            <w:vAlign w:val="center"/>
          </w:tcPr>
          <w:p w14:paraId="474A5EA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销售表现（2选1）</w:t>
            </w:r>
          </w:p>
        </w:tc>
        <w:tc>
          <w:tcPr>
            <w:tcW w:w="5527" w:type="dxa"/>
            <w:noWrap w:val="0"/>
            <w:vAlign w:val="center"/>
          </w:tcPr>
          <w:p w14:paraId="64302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单款产品在市场上具有良好的销售表现：</w:t>
            </w:r>
          </w:p>
          <w:p w14:paraId="025D1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年销售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量在</w:t>
            </w: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5万件以上（50分）；</w:t>
            </w:r>
          </w:p>
          <w:p w14:paraId="677FD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年销售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量在3万件—5万件</w:t>
            </w: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不满5万件（40分）；</w:t>
            </w:r>
          </w:p>
          <w:p w14:paraId="533A7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年销售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量在1万件—3万件</w:t>
            </w: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不满3万件（30分）；</w:t>
            </w:r>
          </w:p>
          <w:p w14:paraId="3B782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年销售量在3000件-1万件不满1万件（20分）；</w:t>
            </w:r>
          </w:p>
          <w:p w14:paraId="6CF85E2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"/>
                <w:sz w:val="18"/>
                <w:szCs w:val="18"/>
              </w:rPr>
              <w:t>年销售量在3000件以下（10分）。</w:t>
            </w:r>
          </w:p>
        </w:tc>
        <w:tc>
          <w:tcPr>
            <w:tcW w:w="881" w:type="dxa"/>
            <w:vMerge w:val="restart"/>
            <w:noWrap w:val="0"/>
            <w:vAlign w:val="center"/>
          </w:tcPr>
          <w:p w14:paraId="22D8FD3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50</w:t>
            </w:r>
          </w:p>
        </w:tc>
        <w:tc>
          <w:tcPr>
            <w:tcW w:w="881" w:type="dxa"/>
            <w:noWrap w:val="0"/>
            <w:vAlign w:val="center"/>
          </w:tcPr>
          <w:p w14:paraId="2BDA2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883" w:type="dxa"/>
            <w:noWrap w:val="0"/>
            <w:vAlign w:val="center"/>
          </w:tcPr>
          <w:p w14:paraId="1F4D0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……</w:t>
            </w:r>
          </w:p>
        </w:tc>
      </w:tr>
      <w:tr w14:paraId="70FDD0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1218" w:type="dxa"/>
            <w:vMerge w:val="continue"/>
            <w:noWrap w:val="0"/>
            <w:vAlign w:val="center"/>
          </w:tcPr>
          <w:p w14:paraId="028AF57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  <w:tc>
          <w:tcPr>
            <w:tcW w:w="5527" w:type="dxa"/>
            <w:noWrap w:val="0"/>
            <w:vAlign w:val="center"/>
          </w:tcPr>
          <w:p w14:paraId="11CFB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主题系列产品在市场上具有良好的销售表现：</w:t>
            </w:r>
          </w:p>
          <w:p w14:paraId="37620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年销售额在30万元以上（50分）；</w:t>
            </w:r>
          </w:p>
          <w:p w14:paraId="3D5F090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"/>
                <w:sz w:val="18"/>
                <w:szCs w:val="18"/>
              </w:rPr>
              <w:t>年销售额在20万元—30万元不满30万元（40分）；</w:t>
            </w:r>
          </w:p>
          <w:p w14:paraId="53216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年销售额在10万元—20万元不满20万元（30分）；</w:t>
            </w:r>
          </w:p>
          <w:p w14:paraId="6CCDB79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"/>
                <w:sz w:val="18"/>
                <w:szCs w:val="18"/>
              </w:rPr>
              <w:t>年销售额在3万元-10万元不满10万元（20分）；</w:t>
            </w:r>
          </w:p>
          <w:p w14:paraId="2AFC6BB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"/>
                <w:sz w:val="18"/>
                <w:szCs w:val="18"/>
              </w:rPr>
              <w:t>年销售额在3万元以下（10分）。</w:t>
            </w:r>
          </w:p>
        </w:tc>
        <w:tc>
          <w:tcPr>
            <w:tcW w:w="881" w:type="dxa"/>
            <w:vMerge w:val="continue"/>
            <w:noWrap w:val="0"/>
            <w:vAlign w:val="center"/>
          </w:tcPr>
          <w:p w14:paraId="2FA5059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</w:p>
        </w:tc>
        <w:tc>
          <w:tcPr>
            <w:tcW w:w="881" w:type="dxa"/>
            <w:noWrap w:val="0"/>
            <w:vAlign w:val="center"/>
          </w:tcPr>
          <w:p w14:paraId="34CC8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883" w:type="dxa"/>
            <w:noWrap w:val="0"/>
            <w:vAlign w:val="center"/>
          </w:tcPr>
          <w:p w14:paraId="032DF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……</w:t>
            </w:r>
          </w:p>
        </w:tc>
      </w:tr>
      <w:tr w14:paraId="399AC2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1218" w:type="dxa"/>
            <w:noWrap w:val="0"/>
            <w:vAlign w:val="center"/>
          </w:tcPr>
          <w:p w14:paraId="72C814B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销售范围</w:t>
            </w:r>
          </w:p>
        </w:tc>
        <w:tc>
          <w:tcPr>
            <w:tcW w:w="5527" w:type="dxa"/>
            <w:noWrap w:val="0"/>
            <w:vAlign w:val="center"/>
          </w:tcPr>
          <w:p w14:paraId="635D25E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"/>
                <w:sz w:val="18"/>
                <w:szCs w:val="18"/>
              </w:rPr>
              <w:t>产品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2"/>
                <w:sz w:val="18"/>
                <w:szCs w:val="18"/>
                <w:lang w:eastAsia="zh-CN"/>
              </w:rPr>
              <w:t>销售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2"/>
                <w:sz w:val="18"/>
                <w:szCs w:val="18"/>
              </w:rPr>
              <w:t>范围：</w:t>
            </w:r>
          </w:p>
          <w:p w14:paraId="62C8A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产品或者主题系列产品已在海外进行销售（10分）；</w:t>
            </w:r>
          </w:p>
          <w:p w14:paraId="77213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产品或者主题系列产品已在全国进行销售（8分）；</w:t>
            </w:r>
          </w:p>
          <w:p w14:paraId="59841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产品或者主题系列产品已在四川范围内进行销售（6分）；</w:t>
            </w:r>
          </w:p>
          <w:p w14:paraId="50EAD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产品或者主题系列产品在成都市范围内进行销售（4分）；</w:t>
            </w:r>
          </w:p>
          <w:p w14:paraId="4D204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产品或者主题系列产品仅在本单位门店进行销售（2分）。</w:t>
            </w:r>
          </w:p>
        </w:tc>
        <w:tc>
          <w:tcPr>
            <w:tcW w:w="881" w:type="dxa"/>
            <w:noWrap w:val="0"/>
            <w:vAlign w:val="center"/>
          </w:tcPr>
          <w:p w14:paraId="1F0F469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10</w:t>
            </w:r>
          </w:p>
        </w:tc>
        <w:tc>
          <w:tcPr>
            <w:tcW w:w="881" w:type="dxa"/>
            <w:noWrap w:val="0"/>
            <w:vAlign w:val="center"/>
          </w:tcPr>
          <w:p w14:paraId="5BEE4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883" w:type="dxa"/>
            <w:noWrap w:val="0"/>
            <w:vAlign w:val="center"/>
          </w:tcPr>
          <w:p w14:paraId="40D9C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……</w:t>
            </w:r>
          </w:p>
        </w:tc>
      </w:tr>
      <w:tr w14:paraId="4B5C09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1" w:hRule="atLeast"/>
          <w:jc w:val="center"/>
        </w:trPr>
        <w:tc>
          <w:tcPr>
            <w:tcW w:w="1218" w:type="dxa"/>
            <w:noWrap w:val="0"/>
            <w:vAlign w:val="center"/>
          </w:tcPr>
          <w:p w14:paraId="6EB29C7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知识产权</w:t>
            </w:r>
          </w:p>
        </w:tc>
        <w:tc>
          <w:tcPr>
            <w:tcW w:w="5527" w:type="dxa"/>
            <w:noWrap w:val="0"/>
            <w:vAlign w:val="center"/>
          </w:tcPr>
          <w:p w14:paraId="71A8E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产品拥有正式注册的知识产权（包括但不限于专利、商标权等），且知识产权注册地在成都，知识产权权属清晰、合法有效，充分体现产品的创新性与原创性（20分）；</w:t>
            </w:r>
          </w:p>
          <w:p w14:paraId="6BBFC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产品拥有正式注册的知识产权（包括但不限于专利、商标权等），但知识产权注册地不在成都，知识产权权属清晰、合法有效，充分体现产品的创新性与原创性（15分）；</w:t>
            </w:r>
          </w:p>
          <w:p w14:paraId="0645A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产品已提交知识产权申请，具备受理通知书或其他相关证明文件，注册地在成都，但尚未完成最终注册或认证（10分）；</w:t>
            </w:r>
          </w:p>
          <w:p w14:paraId="3F8D1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产品已提交知识产权申请，具备受理通知书或其他相关证明文件，但注册地不在成都，尚未完成最终注册或认证（5分）；</w:t>
            </w:r>
          </w:p>
          <w:p w14:paraId="09C72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产品未取得或未申请任何形式的知识产权（0分）。</w:t>
            </w:r>
          </w:p>
        </w:tc>
        <w:tc>
          <w:tcPr>
            <w:tcW w:w="881" w:type="dxa"/>
            <w:noWrap w:val="0"/>
            <w:vAlign w:val="center"/>
          </w:tcPr>
          <w:p w14:paraId="28CC1E0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20</w:t>
            </w:r>
          </w:p>
        </w:tc>
        <w:tc>
          <w:tcPr>
            <w:tcW w:w="881" w:type="dxa"/>
            <w:noWrap w:val="0"/>
            <w:vAlign w:val="center"/>
          </w:tcPr>
          <w:p w14:paraId="7BE9B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883" w:type="dxa"/>
            <w:noWrap w:val="0"/>
            <w:vAlign w:val="center"/>
          </w:tcPr>
          <w:p w14:paraId="08385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……</w:t>
            </w:r>
          </w:p>
        </w:tc>
      </w:tr>
      <w:tr w14:paraId="741D40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  <w:jc w:val="center"/>
        </w:trPr>
        <w:tc>
          <w:tcPr>
            <w:tcW w:w="1218" w:type="dxa"/>
            <w:noWrap w:val="0"/>
            <w:vAlign w:val="center"/>
          </w:tcPr>
          <w:p w14:paraId="21E1F44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成都制造</w:t>
            </w:r>
          </w:p>
        </w:tc>
        <w:tc>
          <w:tcPr>
            <w:tcW w:w="5527" w:type="dxa"/>
            <w:noWrap w:val="0"/>
            <w:vAlign w:val="center"/>
          </w:tcPr>
          <w:p w14:paraId="18FFE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产品的设计、生产和制造全过程均在成都市范围内完成，充分体现本地化生产能力（5分）；</w:t>
            </w:r>
          </w:p>
          <w:p w14:paraId="78DE6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产品的生产和制造在成都市范围内完成，设计不在成都市范围内完成（4分）</w:t>
            </w:r>
          </w:p>
          <w:p w14:paraId="77F28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产品的整体设计在成都市范围内完成，生产和制造不在成都市范围内完成（3分）</w:t>
            </w:r>
          </w:p>
          <w:p w14:paraId="6DD9D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产品的部分核心关键环节（如核心设计、生产或核心零部件）在成都完成，其余环节不在成都进行（2分）。</w:t>
            </w:r>
          </w:p>
          <w:p w14:paraId="18EF7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产品的仅非核心环节（如包装设计生产、产品打样等）在成都完成，其余环节不在成都进行（1分）。</w:t>
            </w:r>
          </w:p>
        </w:tc>
        <w:tc>
          <w:tcPr>
            <w:tcW w:w="881" w:type="dxa"/>
            <w:noWrap w:val="0"/>
            <w:vAlign w:val="center"/>
          </w:tcPr>
          <w:p w14:paraId="5D8CFA6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5</w:t>
            </w:r>
          </w:p>
        </w:tc>
        <w:tc>
          <w:tcPr>
            <w:tcW w:w="881" w:type="dxa"/>
            <w:noWrap w:val="0"/>
            <w:vAlign w:val="center"/>
          </w:tcPr>
          <w:p w14:paraId="40231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883" w:type="dxa"/>
            <w:noWrap w:val="0"/>
            <w:vAlign w:val="center"/>
          </w:tcPr>
          <w:p w14:paraId="73012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……</w:t>
            </w:r>
          </w:p>
        </w:tc>
      </w:tr>
      <w:tr w14:paraId="28F8E5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  <w:jc w:val="center"/>
        </w:trPr>
        <w:tc>
          <w:tcPr>
            <w:tcW w:w="1218" w:type="dxa"/>
            <w:noWrap w:val="0"/>
            <w:vAlign w:val="center"/>
          </w:tcPr>
          <w:p w14:paraId="1CA10CF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总计</w:t>
            </w:r>
          </w:p>
        </w:tc>
        <w:tc>
          <w:tcPr>
            <w:tcW w:w="5527" w:type="dxa"/>
            <w:noWrap w:val="0"/>
            <w:vAlign w:val="center"/>
          </w:tcPr>
          <w:p w14:paraId="62495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产品评分达60分通过初次评定工作，进入综合评审阶段。</w:t>
            </w:r>
          </w:p>
        </w:tc>
        <w:tc>
          <w:tcPr>
            <w:tcW w:w="881" w:type="dxa"/>
            <w:noWrap w:val="0"/>
            <w:vAlign w:val="center"/>
          </w:tcPr>
          <w:p w14:paraId="4FECD2F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100</w:t>
            </w:r>
          </w:p>
        </w:tc>
        <w:tc>
          <w:tcPr>
            <w:tcW w:w="881" w:type="dxa"/>
            <w:noWrap w:val="0"/>
            <w:vAlign w:val="center"/>
          </w:tcPr>
          <w:p w14:paraId="0816A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883" w:type="dxa"/>
            <w:noWrap w:val="0"/>
            <w:vAlign w:val="center"/>
          </w:tcPr>
          <w:p w14:paraId="6154B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</w:tr>
    </w:tbl>
    <w:p w14:paraId="5B24AA71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ascii="方正仿宋_GBK" w:eastAsia="方正仿宋_GBK"/>
          <w:b/>
          <w:bCs/>
          <w:sz w:val="32"/>
          <w:szCs w:val="32"/>
        </w:rPr>
      </w:pPr>
    </w:p>
    <w:p w14:paraId="42C9B288">
      <w:pPr>
        <w:pStyle w:val="2"/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  <w:rPr>
          <w:rFonts w:ascii="方正仿宋_GBK" w:eastAsia="方正仿宋_GBK"/>
          <w:b/>
          <w:bCs/>
          <w:color w:val="auto"/>
          <w:sz w:val="32"/>
          <w:szCs w:val="32"/>
        </w:rPr>
      </w:pPr>
    </w:p>
    <w:p w14:paraId="5D239104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  <w:rPr>
          <w:rFonts w:ascii="方正仿宋_GBK" w:eastAsia="方正仿宋_GBK"/>
          <w:b/>
          <w:bCs/>
          <w:sz w:val="32"/>
          <w:szCs w:val="32"/>
        </w:rPr>
      </w:pPr>
    </w:p>
    <w:p w14:paraId="68A8EC46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  <w:rPr>
          <w:rFonts w:ascii="方正仿宋_GBK" w:eastAsia="方正仿宋_GBK"/>
          <w:b/>
          <w:bCs/>
          <w:sz w:val="32"/>
          <w:szCs w:val="32"/>
        </w:rPr>
      </w:pPr>
    </w:p>
    <w:p w14:paraId="263E3ABA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  <w:rPr>
          <w:rFonts w:ascii="方正仿宋_GBK" w:eastAsia="方正仿宋_GBK"/>
          <w:b/>
          <w:bCs/>
          <w:sz w:val="32"/>
          <w:szCs w:val="32"/>
        </w:rPr>
      </w:pPr>
    </w:p>
    <w:p w14:paraId="48598AED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  <w:rPr>
          <w:rFonts w:ascii="方正仿宋_GBK" w:eastAsia="方正仿宋_GBK"/>
          <w:b/>
          <w:bCs/>
          <w:sz w:val="32"/>
          <w:szCs w:val="32"/>
        </w:rPr>
      </w:pPr>
    </w:p>
    <w:p w14:paraId="53A7CF70">
      <w:pPr>
        <w:pStyle w:val="2"/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center"/>
        <w:textAlignment w:val="auto"/>
        <w:rPr>
          <w:rFonts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表三：工艺美术品类</w:t>
      </w:r>
    </w:p>
    <w:tbl>
      <w:tblPr>
        <w:tblStyle w:val="4"/>
        <w:tblW w:w="952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56"/>
        <w:gridCol w:w="5523"/>
        <w:gridCol w:w="916"/>
        <w:gridCol w:w="916"/>
        <w:gridCol w:w="918"/>
      </w:tblGrid>
      <w:tr w14:paraId="7E6E38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1256" w:type="dxa"/>
            <w:noWrap w:val="0"/>
            <w:vAlign w:val="center"/>
          </w:tcPr>
          <w:p w14:paraId="26D786D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评定项目</w:t>
            </w:r>
          </w:p>
        </w:tc>
        <w:tc>
          <w:tcPr>
            <w:tcW w:w="5523" w:type="dxa"/>
            <w:noWrap w:val="0"/>
            <w:vAlign w:val="center"/>
          </w:tcPr>
          <w:p w14:paraId="7E5ABA8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评分标准</w:t>
            </w:r>
          </w:p>
        </w:tc>
        <w:tc>
          <w:tcPr>
            <w:tcW w:w="916" w:type="dxa"/>
            <w:noWrap w:val="0"/>
            <w:vAlign w:val="center"/>
          </w:tcPr>
          <w:p w14:paraId="28F0C94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赋分</w:t>
            </w:r>
          </w:p>
        </w:tc>
        <w:tc>
          <w:tcPr>
            <w:tcW w:w="916" w:type="dxa"/>
            <w:noWrap w:val="0"/>
            <w:vAlign w:val="center"/>
          </w:tcPr>
          <w:p w14:paraId="4218024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得分</w:t>
            </w:r>
          </w:p>
        </w:tc>
        <w:tc>
          <w:tcPr>
            <w:tcW w:w="918" w:type="dxa"/>
            <w:noWrap w:val="0"/>
            <w:vAlign w:val="center"/>
          </w:tcPr>
          <w:p w14:paraId="37560EB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佐证材料</w:t>
            </w:r>
          </w:p>
        </w:tc>
      </w:tr>
      <w:tr w14:paraId="622DBD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7" w:hRule="atLeast"/>
          <w:jc w:val="center"/>
        </w:trPr>
        <w:tc>
          <w:tcPr>
            <w:tcW w:w="1256" w:type="dxa"/>
            <w:noWrap w:val="0"/>
            <w:vAlign w:val="center"/>
          </w:tcPr>
          <w:p w14:paraId="29536F4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获奖情况</w:t>
            </w:r>
          </w:p>
        </w:tc>
        <w:tc>
          <w:tcPr>
            <w:tcW w:w="5523" w:type="dxa"/>
            <w:noWrap w:val="0"/>
            <w:vAlign w:val="center"/>
          </w:tcPr>
          <w:p w14:paraId="4F2BF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申报产品获国家级及以上奖项，包括但不限于国家级工艺美术奖、非遗传承类奖项、文化和旅游部权威奖项、国际知名赛事或展览奖等，最高奖项（25分）、其他奖项（20分）；</w:t>
            </w:r>
          </w:p>
          <w:p w14:paraId="640C1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申报产品获省级上述类奖项，最高奖项（15分）、其他奖项（10分）；</w:t>
            </w:r>
          </w:p>
          <w:p w14:paraId="0CFD2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申报产品获市级上述类奖项，最高奖项（5分）。</w:t>
            </w:r>
          </w:p>
        </w:tc>
        <w:tc>
          <w:tcPr>
            <w:tcW w:w="916" w:type="dxa"/>
            <w:noWrap w:val="0"/>
            <w:vAlign w:val="center"/>
          </w:tcPr>
          <w:p w14:paraId="250F070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0"/>
                <w:szCs w:val="16"/>
              </w:rPr>
              <w:t>25</w:t>
            </w:r>
          </w:p>
        </w:tc>
        <w:tc>
          <w:tcPr>
            <w:tcW w:w="916" w:type="dxa"/>
            <w:noWrap w:val="0"/>
            <w:vAlign w:val="center"/>
          </w:tcPr>
          <w:p w14:paraId="63196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918" w:type="dxa"/>
            <w:noWrap w:val="0"/>
            <w:vAlign w:val="center"/>
          </w:tcPr>
          <w:p w14:paraId="7630E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材料1</w:t>
            </w:r>
          </w:p>
          <w:p w14:paraId="2D71F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材料2</w:t>
            </w:r>
          </w:p>
          <w:p w14:paraId="768FC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……</w:t>
            </w:r>
          </w:p>
          <w:p w14:paraId="51EA0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</w:tr>
      <w:tr w14:paraId="483199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6" w:type="dxa"/>
            <w:noWrap w:val="0"/>
            <w:vAlign w:val="center"/>
          </w:tcPr>
          <w:p w14:paraId="3751A5D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市级以上外交外事礼品</w:t>
            </w:r>
          </w:p>
        </w:tc>
        <w:tc>
          <w:tcPr>
            <w:tcW w:w="5523" w:type="dxa"/>
            <w:noWrap w:val="0"/>
            <w:vAlign w:val="center"/>
          </w:tcPr>
          <w:p w14:paraId="131D7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国家级外事外交礼品（入选国家级采购清单或成为国家级涉外活动专用外交礼品）（25分）；</w:t>
            </w:r>
          </w:p>
          <w:p w14:paraId="15F83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省级外事外交礼品（包括但不限于省级采购清单或成为涉外活动专用外交礼品）（15分）；</w:t>
            </w:r>
          </w:p>
          <w:p w14:paraId="12524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市级外事外交礼品（包括但不限于市级采购清单或成为涉外活动专用外交礼品）（8分）；</w:t>
            </w:r>
          </w:p>
        </w:tc>
        <w:tc>
          <w:tcPr>
            <w:tcW w:w="916" w:type="dxa"/>
            <w:noWrap w:val="0"/>
            <w:vAlign w:val="center"/>
          </w:tcPr>
          <w:p w14:paraId="44A3718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25</w:t>
            </w:r>
          </w:p>
        </w:tc>
        <w:tc>
          <w:tcPr>
            <w:tcW w:w="916" w:type="dxa"/>
            <w:noWrap w:val="0"/>
            <w:vAlign w:val="center"/>
          </w:tcPr>
          <w:p w14:paraId="71E84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918" w:type="dxa"/>
            <w:noWrap w:val="0"/>
            <w:vAlign w:val="center"/>
          </w:tcPr>
          <w:p w14:paraId="04E0DE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材料3</w:t>
            </w:r>
          </w:p>
          <w:p w14:paraId="4714C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材料4</w:t>
            </w:r>
          </w:p>
          <w:p w14:paraId="1FD53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……</w:t>
            </w:r>
          </w:p>
          <w:p w14:paraId="0B07A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</w:tr>
      <w:tr w14:paraId="0673B2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  <w:jc w:val="center"/>
        </w:trPr>
        <w:tc>
          <w:tcPr>
            <w:tcW w:w="1256" w:type="dxa"/>
            <w:vMerge w:val="restart"/>
            <w:noWrap w:val="0"/>
            <w:vAlign w:val="center"/>
          </w:tcPr>
          <w:p w14:paraId="40AF217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销售表现（2选1）</w:t>
            </w:r>
          </w:p>
        </w:tc>
        <w:tc>
          <w:tcPr>
            <w:tcW w:w="5523" w:type="dxa"/>
            <w:noWrap w:val="0"/>
            <w:vAlign w:val="center"/>
          </w:tcPr>
          <w:p w14:paraId="05B9D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单款产品在市场上具有良好的销售表现：</w:t>
            </w:r>
          </w:p>
          <w:p w14:paraId="54ADC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年销售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量在</w:t>
            </w: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1万件以上（10分）；</w:t>
            </w:r>
          </w:p>
          <w:p w14:paraId="74BE5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年销售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量在5000件—1万件</w:t>
            </w: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不满1万件（8分）；</w:t>
            </w:r>
          </w:p>
          <w:p w14:paraId="74056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年销售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量在1000件—5000件</w:t>
            </w: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不满5000件（5分）；</w:t>
            </w:r>
          </w:p>
          <w:p w14:paraId="24C2A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年销售量在300件-1000件不满1000件（2分）。</w:t>
            </w:r>
          </w:p>
        </w:tc>
        <w:tc>
          <w:tcPr>
            <w:tcW w:w="916" w:type="dxa"/>
            <w:vMerge w:val="restart"/>
            <w:noWrap w:val="0"/>
            <w:vAlign w:val="center"/>
          </w:tcPr>
          <w:p w14:paraId="65B7E88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10</w:t>
            </w:r>
          </w:p>
        </w:tc>
        <w:tc>
          <w:tcPr>
            <w:tcW w:w="916" w:type="dxa"/>
            <w:noWrap w:val="0"/>
            <w:vAlign w:val="center"/>
          </w:tcPr>
          <w:p w14:paraId="576CA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918" w:type="dxa"/>
            <w:noWrap w:val="0"/>
            <w:vAlign w:val="center"/>
          </w:tcPr>
          <w:p w14:paraId="2265A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……</w:t>
            </w:r>
          </w:p>
        </w:tc>
      </w:tr>
      <w:tr w14:paraId="7D2D76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 w14:paraId="7A98395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  <w:tc>
          <w:tcPr>
            <w:tcW w:w="5523" w:type="dxa"/>
            <w:noWrap w:val="0"/>
            <w:vAlign w:val="center"/>
          </w:tcPr>
          <w:p w14:paraId="2566A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主题系列产品在市场上具有良好的销售表现：</w:t>
            </w:r>
          </w:p>
          <w:p w14:paraId="4BC6F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年销售额在20万元以上（10分）；</w:t>
            </w:r>
          </w:p>
          <w:p w14:paraId="3254D01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"/>
                <w:sz w:val="18"/>
                <w:szCs w:val="18"/>
              </w:rPr>
              <w:t>年销售额在10万元—20万元不满30万元（8分）；</w:t>
            </w:r>
          </w:p>
          <w:p w14:paraId="577B4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年销售额在5万元—10万元不满20万元（5分）；</w:t>
            </w:r>
          </w:p>
          <w:p w14:paraId="70250F0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"/>
                <w:sz w:val="18"/>
                <w:szCs w:val="18"/>
              </w:rPr>
              <w:t>年销售额在3万元-5万元不满10万元（2分）。</w:t>
            </w:r>
          </w:p>
        </w:tc>
        <w:tc>
          <w:tcPr>
            <w:tcW w:w="916" w:type="dxa"/>
            <w:vMerge w:val="continue"/>
            <w:noWrap w:val="0"/>
            <w:vAlign w:val="center"/>
          </w:tcPr>
          <w:p w14:paraId="3DF4946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</w:p>
        </w:tc>
        <w:tc>
          <w:tcPr>
            <w:tcW w:w="916" w:type="dxa"/>
            <w:noWrap w:val="0"/>
            <w:vAlign w:val="center"/>
          </w:tcPr>
          <w:p w14:paraId="27F1F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918" w:type="dxa"/>
            <w:noWrap w:val="0"/>
            <w:vAlign w:val="center"/>
          </w:tcPr>
          <w:p w14:paraId="4A895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……</w:t>
            </w:r>
          </w:p>
        </w:tc>
      </w:tr>
      <w:tr w14:paraId="3ACC03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1256" w:type="dxa"/>
            <w:noWrap w:val="0"/>
            <w:vAlign w:val="center"/>
          </w:tcPr>
          <w:p w14:paraId="2258560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销售范围</w:t>
            </w:r>
          </w:p>
        </w:tc>
        <w:tc>
          <w:tcPr>
            <w:tcW w:w="5523" w:type="dxa"/>
            <w:noWrap w:val="0"/>
            <w:vAlign w:val="center"/>
          </w:tcPr>
          <w:p w14:paraId="2C839D0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"/>
                <w:sz w:val="18"/>
                <w:szCs w:val="18"/>
              </w:rPr>
              <w:t>产品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2"/>
                <w:sz w:val="18"/>
                <w:szCs w:val="18"/>
                <w:lang w:eastAsia="zh-CN"/>
              </w:rPr>
              <w:t>销售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2"/>
                <w:sz w:val="18"/>
                <w:szCs w:val="18"/>
              </w:rPr>
              <w:t>范围：</w:t>
            </w:r>
          </w:p>
          <w:p w14:paraId="44153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产品或者主题系列产品已在海外进行销售（10分）；</w:t>
            </w:r>
          </w:p>
          <w:p w14:paraId="4E33E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产品或者主题系列产品已在全国进行销售（8分）；</w:t>
            </w:r>
          </w:p>
          <w:p w14:paraId="3BBBE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产品或者主题系列产品已在四川范围内进行销售（6分）；</w:t>
            </w:r>
          </w:p>
          <w:p w14:paraId="439F6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产品或者主题系列产品在成都市范围内进行销售（4分）；</w:t>
            </w:r>
          </w:p>
          <w:p w14:paraId="6800A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产品或者主题系列产品仅在本单位门店进行销售（2分）。</w:t>
            </w:r>
          </w:p>
        </w:tc>
        <w:tc>
          <w:tcPr>
            <w:tcW w:w="916" w:type="dxa"/>
            <w:noWrap w:val="0"/>
            <w:vAlign w:val="center"/>
          </w:tcPr>
          <w:p w14:paraId="37B39A6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10</w:t>
            </w:r>
          </w:p>
        </w:tc>
        <w:tc>
          <w:tcPr>
            <w:tcW w:w="916" w:type="dxa"/>
            <w:noWrap w:val="0"/>
            <w:vAlign w:val="center"/>
          </w:tcPr>
          <w:p w14:paraId="037E6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918" w:type="dxa"/>
            <w:noWrap w:val="0"/>
            <w:vAlign w:val="center"/>
          </w:tcPr>
          <w:p w14:paraId="65EA7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……</w:t>
            </w:r>
          </w:p>
        </w:tc>
      </w:tr>
      <w:tr w14:paraId="2A4FED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  <w:jc w:val="center"/>
        </w:trPr>
        <w:tc>
          <w:tcPr>
            <w:tcW w:w="1256" w:type="dxa"/>
            <w:noWrap w:val="0"/>
            <w:vAlign w:val="center"/>
          </w:tcPr>
          <w:p w14:paraId="390F9F4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独立知识产权</w:t>
            </w:r>
          </w:p>
        </w:tc>
        <w:tc>
          <w:tcPr>
            <w:tcW w:w="5523" w:type="dxa"/>
            <w:noWrap w:val="0"/>
            <w:vAlign w:val="center"/>
          </w:tcPr>
          <w:p w14:paraId="4C3E0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产品拥有正式注册的知识产权（包括但不限于专利、商标权等），且知识产权注册地在成都，知识产权权属清晰、合法有效，充分体现产品的创新性与原创性（20分）；</w:t>
            </w:r>
          </w:p>
          <w:p w14:paraId="4CDF8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产品拥有正式注册的知识产权（包括但不限于专利、商标权等），但知识产权注册地不在成都，知识产权权属清晰、合法有效，充分体现产品的创新性与原创性（15分）；</w:t>
            </w:r>
          </w:p>
          <w:p w14:paraId="00D01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产品已提交知识产权申请，具备受理通知书或其他相关证明文件，注册地在成都，但尚未完成最终注册或认证（10分）；</w:t>
            </w:r>
          </w:p>
          <w:p w14:paraId="40E7A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产品已提交知识产权申请，具备受理通知书或其他相关证明文件，但注册地不在成都，尚未完成最终注册或认证（5分）；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产品未取得或未申请任何形式的知识产权（0分）。</w:t>
            </w:r>
          </w:p>
        </w:tc>
        <w:tc>
          <w:tcPr>
            <w:tcW w:w="916" w:type="dxa"/>
            <w:noWrap w:val="0"/>
            <w:vAlign w:val="center"/>
          </w:tcPr>
          <w:p w14:paraId="1064E61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20</w:t>
            </w:r>
          </w:p>
        </w:tc>
        <w:tc>
          <w:tcPr>
            <w:tcW w:w="916" w:type="dxa"/>
            <w:noWrap w:val="0"/>
            <w:vAlign w:val="center"/>
          </w:tcPr>
          <w:p w14:paraId="2DBC6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918" w:type="dxa"/>
            <w:noWrap w:val="0"/>
            <w:vAlign w:val="center"/>
          </w:tcPr>
          <w:p w14:paraId="67B37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……</w:t>
            </w:r>
          </w:p>
        </w:tc>
      </w:tr>
      <w:tr w14:paraId="6427F7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  <w:jc w:val="center"/>
        </w:trPr>
        <w:tc>
          <w:tcPr>
            <w:tcW w:w="1256" w:type="dxa"/>
            <w:noWrap w:val="0"/>
            <w:vAlign w:val="center"/>
          </w:tcPr>
          <w:p w14:paraId="2BE9BF3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成都制造</w:t>
            </w:r>
          </w:p>
        </w:tc>
        <w:tc>
          <w:tcPr>
            <w:tcW w:w="5523" w:type="dxa"/>
            <w:noWrap w:val="0"/>
            <w:vAlign w:val="center"/>
          </w:tcPr>
          <w:p w14:paraId="43AC9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产品的设计、生产和制造全过程均在成都市范围内完成，充分体现本地化生产能力（10分）；</w:t>
            </w:r>
          </w:p>
          <w:p w14:paraId="2F73C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产品的生产和制造在成都市范围内完成，设计不在成都市范围内完成（8分）</w:t>
            </w:r>
          </w:p>
          <w:p w14:paraId="3DDCF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产品的整体设计在成都市范围内完成，生产和制造不在成都市范围内完成（6分）</w:t>
            </w:r>
          </w:p>
          <w:p w14:paraId="11960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产品的部分核心关键环节（如核心设计、生产或核心零部件）在成都完成，但非全部制造环节在成都进行（4分）。</w:t>
            </w:r>
          </w:p>
          <w:p w14:paraId="04202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产品的仅非核心环节（如包装设计生产、产品打样等）在成都完成，但非全部制造环节在成都进行（2分）。</w:t>
            </w:r>
          </w:p>
        </w:tc>
        <w:tc>
          <w:tcPr>
            <w:tcW w:w="916" w:type="dxa"/>
            <w:noWrap w:val="0"/>
            <w:vAlign w:val="center"/>
          </w:tcPr>
          <w:p w14:paraId="098636D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10</w:t>
            </w:r>
          </w:p>
        </w:tc>
        <w:tc>
          <w:tcPr>
            <w:tcW w:w="916" w:type="dxa"/>
            <w:noWrap w:val="0"/>
            <w:vAlign w:val="center"/>
          </w:tcPr>
          <w:p w14:paraId="2C6E3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918" w:type="dxa"/>
            <w:noWrap w:val="0"/>
            <w:vAlign w:val="center"/>
          </w:tcPr>
          <w:p w14:paraId="34F0B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……</w:t>
            </w:r>
          </w:p>
        </w:tc>
      </w:tr>
      <w:tr w14:paraId="2CDB7B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1256" w:type="dxa"/>
            <w:noWrap w:val="0"/>
            <w:vAlign w:val="center"/>
          </w:tcPr>
          <w:p w14:paraId="4244CF5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总计</w:t>
            </w:r>
          </w:p>
        </w:tc>
        <w:tc>
          <w:tcPr>
            <w:tcW w:w="5523" w:type="dxa"/>
            <w:noWrap w:val="0"/>
            <w:vAlign w:val="center"/>
          </w:tcPr>
          <w:p w14:paraId="01453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产品评分达60分通过初次评定工作，进入综合评审阶段。</w:t>
            </w:r>
          </w:p>
        </w:tc>
        <w:tc>
          <w:tcPr>
            <w:tcW w:w="916" w:type="dxa"/>
            <w:noWrap w:val="0"/>
            <w:vAlign w:val="center"/>
          </w:tcPr>
          <w:p w14:paraId="27C169B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100</w:t>
            </w:r>
          </w:p>
        </w:tc>
        <w:tc>
          <w:tcPr>
            <w:tcW w:w="916" w:type="dxa"/>
            <w:noWrap w:val="0"/>
            <w:vAlign w:val="center"/>
          </w:tcPr>
          <w:p w14:paraId="20449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918" w:type="dxa"/>
            <w:noWrap w:val="0"/>
            <w:vAlign w:val="center"/>
          </w:tcPr>
          <w:p w14:paraId="25D5F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</w:tr>
    </w:tbl>
    <w:p w14:paraId="6613E358">
      <w:pPr>
        <w:pStyle w:val="2"/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  <w:rPr>
          <w:color w:val="auto"/>
        </w:rPr>
      </w:pPr>
    </w:p>
    <w:p w14:paraId="07BE8025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  <w:rPr>
          <w:rFonts w:ascii="方正仿宋_GBK" w:eastAsia="方正仿宋_GBK"/>
          <w:b/>
          <w:bCs/>
          <w:sz w:val="32"/>
          <w:szCs w:val="32"/>
        </w:rPr>
      </w:pPr>
      <w:r>
        <w:rPr>
          <w:rFonts w:ascii="方正仿宋_GBK" w:eastAsia="方正仿宋_GBK"/>
          <w:b/>
          <w:bCs/>
          <w:sz w:val="32"/>
          <w:szCs w:val="32"/>
        </w:rPr>
        <w:br w:type="page"/>
      </w:r>
    </w:p>
    <w:p w14:paraId="71627971">
      <w:pPr>
        <w:pStyle w:val="2"/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center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新锐产品（上市未满1年或全新产品）</w:t>
      </w:r>
    </w:p>
    <w:tbl>
      <w:tblPr>
        <w:tblStyle w:val="4"/>
        <w:tblW w:w="952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56"/>
        <w:gridCol w:w="5523"/>
        <w:gridCol w:w="916"/>
        <w:gridCol w:w="916"/>
        <w:gridCol w:w="918"/>
      </w:tblGrid>
      <w:tr w14:paraId="6C0428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1256" w:type="dxa"/>
            <w:noWrap w:val="0"/>
            <w:vAlign w:val="center"/>
          </w:tcPr>
          <w:p w14:paraId="76325E0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评定项目</w:t>
            </w:r>
          </w:p>
        </w:tc>
        <w:tc>
          <w:tcPr>
            <w:tcW w:w="5523" w:type="dxa"/>
            <w:noWrap w:val="0"/>
            <w:vAlign w:val="center"/>
          </w:tcPr>
          <w:p w14:paraId="4BE4E3A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评分标准</w:t>
            </w:r>
          </w:p>
        </w:tc>
        <w:tc>
          <w:tcPr>
            <w:tcW w:w="916" w:type="dxa"/>
            <w:noWrap w:val="0"/>
            <w:vAlign w:val="center"/>
          </w:tcPr>
          <w:p w14:paraId="614551B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赋分</w:t>
            </w:r>
          </w:p>
        </w:tc>
        <w:tc>
          <w:tcPr>
            <w:tcW w:w="916" w:type="dxa"/>
            <w:noWrap w:val="0"/>
            <w:vAlign w:val="center"/>
          </w:tcPr>
          <w:p w14:paraId="59E092E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得分</w:t>
            </w:r>
          </w:p>
        </w:tc>
        <w:tc>
          <w:tcPr>
            <w:tcW w:w="918" w:type="dxa"/>
            <w:noWrap w:val="0"/>
            <w:vAlign w:val="center"/>
          </w:tcPr>
          <w:p w14:paraId="1C03FED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佐证材料</w:t>
            </w:r>
          </w:p>
        </w:tc>
      </w:tr>
      <w:tr w14:paraId="50C7EA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7" w:hRule="atLeast"/>
          <w:jc w:val="center"/>
        </w:trPr>
        <w:tc>
          <w:tcPr>
            <w:tcW w:w="1256" w:type="dxa"/>
            <w:noWrap w:val="0"/>
            <w:vAlign w:val="center"/>
          </w:tcPr>
          <w:p w14:paraId="5BAAC46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获奖情况</w:t>
            </w:r>
          </w:p>
        </w:tc>
        <w:tc>
          <w:tcPr>
            <w:tcW w:w="5523" w:type="dxa"/>
            <w:noWrap w:val="0"/>
            <w:vAlign w:val="center"/>
          </w:tcPr>
          <w:p w14:paraId="592C5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申报产品获国家级及以上奖项，包括但不限于国家级工艺美术奖、非遗传承类奖项、文化和旅游部权威奖项、国际知名赛事或展览奖等，最高奖项（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分）、其他奖项（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分）；</w:t>
            </w:r>
          </w:p>
          <w:p w14:paraId="357AE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申报产品获省级上述类奖项，最高奖项（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分）、其他奖项（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分）；</w:t>
            </w:r>
          </w:p>
          <w:p w14:paraId="4A053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申报产品获市级上述类奖项，最高奖项（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分）。</w:t>
            </w:r>
          </w:p>
        </w:tc>
        <w:tc>
          <w:tcPr>
            <w:tcW w:w="916" w:type="dxa"/>
            <w:noWrap w:val="0"/>
            <w:vAlign w:val="center"/>
          </w:tcPr>
          <w:p w14:paraId="58B46AB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0"/>
                <w:szCs w:val="16"/>
                <w:lang w:val="en-US" w:eastAsia="zh-CN"/>
              </w:rPr>
              <w:t>10</w:t>
            </w:r>
          </w:p>
        </w:tc>
        <w:tc>
          <w:tcPr>
            <w:tcW w:w="916" w:type="dxa"/>
            <w:noWrap w:val="0"/>
            <w:vAlign w:val="center"/>
          </w:tcPr>
          <w:p w14:paraId="73B2E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918" w:type="dxa"/>
            <w:noWrap w:val="0"/>
            <w:vAlign w:val="center"/>
          </w:tcPr>
          <w:p w14:paraId="7B848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材料1</w:t>
            </w:r>
          </w:p>
          <w:p w14:paraId="7F3E9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材料2</w:t>
            </w:r>
          </w:p>
          <w:p w14:paraId="577BF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……</w:t>
            </w:r>
          </w:p>
          <w:p w14:paraId="36650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</w:tr>
      <w:tr w14:paraId="0325E1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6" w:type="dxa"/>
            <w:noWrap w:val="0"/>
            <w:vAlign w:val="center"/>
          </w:tcPr>
          <w:p w14:paraId="7CDA442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lang w:val="en-US" w:eastAsia="zh-CN"/>
              </w:rPr>
              <w:t>文化融合性</w:t>
            </w:r>
          </w:p>
        </w:tc>
        <w:tc>
          <w:tcPr>
            <w:tcW w:w="5523" w:type="dxa"/>
            <w:noWrap w:val="0"/>
            <w:vAlign w:val="center"/>
          </w:tcPr>
          <w:p w14:paraId="70BD7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  <w:lang w:val="en-US" w:eastAsia="zh-CN"/>
              </w:rPr>
              <w:t>深度融合成都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文化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  <w:lang w:val="en-US" w:eastAsia="zh-CN"/>
              </w:rPr>
              <w:t>符号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、原创性强、符号辨识度高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  <w:lang w:val="en-US" w:eastAsia="zh-CN"/>
              </w:rPr>
              <w:t>25分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；</w:t>
            </w:r>
          </w:p>
          <w:p w14:paraId="3B303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  <w:lang w:val="en-US" w:eastAsia="zh-CN"/>
              </w:rPr>
              <w:t>部分融合成都文化元素、有一定原创性、符号可识别（15分）；</w:t>
            </w:r>
          </w:p>
          <w:p w14:paraId="6BCD0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  <w:lang w:val="en-US" w:eastAsia="zh-CN"/>
              </w:rPr>
              <w:t>成都文化元素融合不明显，但有一定原创性（8分）</w:t>
            </w:r>
          </w:p>
        </w:tc>
        <w:tc>
          <w:tcPr>
            <w:tcW w:w="916" w:type="dxa"/>
            <w:noWrap w:val="0"/>
            <w:vAlign w:val="center"/>
          </w:tcPr>
          <w:p w14:paraId="1A93D0D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  <w:lang w:val="en-US" w:eastAsia="zh-CN"/>
              </w:rPr>
              <w:t>25</w:t>
            </w:r>
          </w:p>
        </w:tc>
        <w:tc>
          <w:tcPr>
            <w:tcW w:w="916" w:type="dxa"/>
            <w:noWrap w:val="0"/>
            <w:vAlign w:val="center"/>
          </w:tcPr>
          <w:p w14:paraId="14E9F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918" w:type="dxa"/>
            <w:noWrap w:val="0"/>
            <w:vAlign w:val="center"/>
          </w:tcPr>
          <w:p w14:paraId="0D1D1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</w:tr>
      <w:tr w14:paraId="4A0CF1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6" w:type="dxa"/>
            <w:noWrap w:val="0"/>
            <w:vAlign w:val="center"/>
          </w:tcPr>
          <w:p w14:paraId="23309FB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创新与市场独特性</w:t>
            </w:r>
          </w:p>
        </w:tc>
        <w:tc>
          <w:tcPr>
            <w:tcW w:w="5523" w:type="dxa"/>
            <w:noWrap w:val="0"/>
            <w:vAlign w:val="center"/>
          </w:tcPr>
          <w:p w14:paraId="042B2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具有颠覆性创新，能开创全新品类或细分市场。（25分）；</w:t>
            </w:r>
          </w:p>
          <w:p w14:paraId="72F66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  <w:lang w:val="en-US" w:eastAsia="zh-CN"/>
              </w:rPr>
              <w:t>有一定创新，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显著差异化，在现有品类中独具特色，竞争力强。（15分）；</w:t>
            </w:r>
          </w:p>
          <w:p w14:paraId="79DFB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  <w:lang w:val="en-US" w:eastAsia="zh-CN"/>
              </w:rPr>
              <w:t>有一定微创新，但优势不突出。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（8分）；</w:t>
            </w:r>
          </w:p>
        </w:tc>
        <w:tc>
          <w:tcPr>
            <w:tcW w:w="916" w:type="dxa"/>
            <w:noWrap w:val="0"/>
            <w:vAlign w:val="center"/>
          </w:tcPr>
          <w:p w14:paraId="768055A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  <w:lang w:val="en-US" w:eastAsia="zh-CN"/>
              </w:rPr>
              <w:t>25</w:t>
            </w:r>
          </w:p>
        </w:tc>
        <w:tc>
          <w:tcPr>
            <w:tcW w:w="916" w:type="dxa"/>
            <w:noWrap w:val="0"/>
            <w:vAlign w:val="center"/>
          </w:tcPr>
          <w:p w14:paraId="1A1DF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918" w:type="dxa"/>
            <w:noWrap w:val="0"/>
            <w:vAlign w:val="center"/>
          </w:tcPr>
          <w:p w14:paraId="4BE7B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材料3</w:t>
            </w:r>
          </w:p>
          <w:p w14:paraId="19D87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材料4</w:t>
            </w:r>
          </w:p>
          <w:p w14:paraId="7405A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……</w:t>
            </w:r>
          </w:p>
          <w:p w14:paraId="41AF7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</w:tr>
      <w:tr w14:paraId="5CE35C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1256" w:type="dxa"/>
            <w:noWrap w:val="0"/>
            <w:vAlign w:val="center"/>
          </w:tcPr>
          <w:p w14:paraId="34F0134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销售范围</w:t>
            </w:r>
          </w:p>
        </w:tc>
        <w:tc>
          <w:tcPr>
            <w:tcW w:w="5523" w:type="dxa"/>
            <w:noWrap w:val="0"/>
            <w:vAlign w:val="center"/>
          </w:tcPr>
          <w:p w14:paraId="4FDACA1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"/>
                <w:sz w:val="18"/>
                <w:szCs w:val="18"/>
              </w:rPr>
              <w:t>产品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2"/>
                <w:sz w:val="18"/>
                <w:szCs w:val="18"/>
                <w:lang w:eastAsia="zh-CN"/>
              </w:rPr>
              <w:t>销售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2"/>
                <w:sz w:val="18"/>
                <w:szCs w:val="18"/>
              </w:rPr>
              <w:t>范围：</w:t>
            </w:r>
          </w:p>
          <w:p w14:paraId="533ED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产品或者主题系列产品已在海外进行销售（10分）；</w:t>
            </w:r>
          </w:p>
          <w:p w14:paraId="487C0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产品或者主题系列产品已在全国进行销售（8分）；</w:t>
            </w:r>
          </w:p>
          <w:p w14:paraId="73D0C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产品或者主题系列产品已在四川范围内进行销售（6分）；</w:t>
            </w:r>
          </w:p>
          <w:p w14:paraId="35186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产品或者主题系列产品在成都市范围内进行销售（4分）；</w:t>
            </w:r>
          </w:p>
          <w:p w14:paraId="001B3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176" w:firstLineChars="100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18"/>
                <w:szCs w:val="18"/>
              </w:rPr>
              <w:t>产品或者主题系列产品仅在本单位门店进行销售（2分）。</w:t>
            </w:r>
          </w:p>
        </w:tc>
        <w:tc>
          <w:tcPr>
            <w:tcW w:w="916" w:type="dxa"/>
            <w:noWrap w:val="0"/>
            <w:vAlign w:val="center"/>
          </w:tcPr>
          <w:p w14:paraId="7AD745E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10</w:t>
            </w:r>
          </w:p>
        </w:tc>
        <w:tc>
          <w:tcPr>
            <w:tcW w:w="916" w:type="dxa"/>
            <w:noWrap w:val="0"/>
            <w:vAlign w:val="center"/>
          </w:tcPr>
          <w:p w14:paraId="79051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918" w:type="dxa"/>
            <w:noWrap w:val="0"/>
            <w:vAlign w:val="center"/>
          </w:tcPr>
          <w:p w14:paraId="1A057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……</w:t>
            </w:r>
          </w:p>
        </w:tc>
      </w:tr>
      <w:tr w14:paraId="73610C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  <w:jc w:val="center"/>
        </w:trPr>
        <w:tc>
          <w:tcPr>
            <w:tcW w:w="1256" w:type="dxa"/>
            <w:noWrap w:val="0"/>
            <w:vAlign w:val="center"/>
          </w:tcPr>
          <w:p w14:paraId="2160A87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独立知识产权</w:t>
            </w:r>
          </w:p>
        </w:tc>
        <w:tc>
          <w:tcPr>
            <w:tcW w:w="5523" w:type="dxa"/>
            <w:noWrap w:val="0"/>
            <w:vAlign w:val="center"/>
          </w:tcPr>
          <w:p w14:paraId="130DC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产品拥有正式注册的知识产权（包括但不限于专利、商标权等），且知识产权注册地在成都，知识产权权属清晰、合法有效，充分体现产品的创新性与原创性（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分）；</w:t>
            </w:r>
          </w:p>
          <w:p w14:paraId="43FE6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产品拥有正式注册的知识产权（包括但不限于专利、商标权等），但知识产权注册地不在成都，知识产权权属清晰、合法有效，充分体现产品的创新性与原创性（1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分）；</w:t>
            </w:r>
          </w:p>
          <w:p w14:paraId="5D6E1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产品已提交知识产权申请，具备受理通知书或其他相关证明文件，注册地在成都，但尚未完成最终注册或认证（10分）；</w:t>
            </w:r>
          </w:p>
          <w:p w14:paraId="792D8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产品已提交知识产权申请，具备受理通知书或其他相关证明文件，但注册地不在成都，尚未完成最终注册或认证（5分）；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产品未取得或未申请任何形式的知识产权（0分）。</w:t>
            </w:r>
          </w:p>
        </w:tc>
        <w:tc>
          <w:tcPr>
            <w:tcW w:w="916" w:type="dxa"/>
            <w:noWrap w:val="0"/>
            <w:vAlign w:val="center"/>
          </w:tcPr>
          <w:p w14:paraId="3896006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  <w:lang w:val="en-US" w:eastAsia="zh-CN"/>
              </w:rPr>
              <w:t>15</w:t>
            </w:r>
          </w:p>
        </w:tc>
        <w:tc>
          <w:tcPr>
            <w:tcW w:w="916" w:type="dxa"/>
            <w:noWrap w:val="0"/>
            <w:vAlign w:val="center"/>
          </w:tcPr>
          <w:p w14:paraId="7A644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918" w:type="dxa"/>
            <w:noWrap w:val="0"/>
            <w:vAlign w:val="center"/>
          </w:tcPr>
          <w:p w14:paraId="1EA8F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……</w:t>
            </w:r>
          </w:p>
        </w:tc>
      </w:tr>
      <w:tr w14:paraId="1ED961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  <w:jc w:val="center"/>
        </w:trPr>
        <w:tc>
          <w:tcPr>
            <w:tcW w:w="1256" w:type="dxa"/>
            <w:noWrap w:val="0"/>
            <w:vAlign w:val="center"/>
          </w:tcPr>
          <w:p w14:paraId="4C0BD57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成都制造</w:t>
            </w:r>
          </w:p>
        </w:tc>
        <w:tc>
          <w:tcPr>
            <w:tcW w:w="5523" w:type="dxa"/>
            <w:noWrap w:val="0"/>
            <w:vAlign w:val="center"/>
          </w:tcPr>
          <w:p w14:paraId="4A735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产品的设计、生产和制造全过程均在成都市范围内完成，充分体现本地化生产能力（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分）；</w:t>
            </w:r>
          </w:p>
          <w:p w14:paraId="65309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产品的生产和制造在成都市范围内完成，设计不在成都市范围内完成（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分）</w:t>
            </w:r>
          </w:p>
          <w:p w14:paraId="67420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产品的整体设计在成都市范围内完成，生产和制造不在成都市范围内完成（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分）</w:t>
            </w:r>
          </w:p>
          <w:p w14:paraId="320F8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产品的部分核心关键环节（如核心设计、生产或核心零部件）在成都完成，但非全部制造环节在成都进行（4分）。</w:t>
            </w:r>
          </w:p>
          <w:p w14:paraId="3E18E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产品的仅非核心环节（如包装设计生产、产品打样等）在成都完成，但非全部制造环节在成都进行（2分）。</w:t>
            </w:r>
          </w:p>
        </w:tc>
        <w:tc>
          <w:tcPr>
            <w:tcW w:w="916" w:type="dxa"/>
            <w:noWrap w:val="0"/>
            <w:vAlign w:val="center"/>
          </w:tcPr>
          <w:p w14:paraId="5B8672F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  <w:lang w:val="en-US" w:eastAsia="zh-CN"/>
              </w:rPr>
              <w:t>15</w:t>
            </w:r>
          </w:p>
        </w:tc>
        <w:tc>
          <w:tcPr>
            <w:tcW w:w="916" w:type="dxa"/>
            <w:noWrap w:val="0"/>
            <w:vAlign w:val="center"/>
          </w:tcPr>
          <w:p w14:paraId="78909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918" w:type="dxa"/>
            <w:noWrap w:val="0"/>
            <w:vAlign w:val="center"/>
          </w:tcPr>
          <w:p w14:paraId="75315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……</w:t>
            </w:r>
          </w:p>
        </w:tc>
      </w:tr>
      <w:tr w14:paraId="49933E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1256" w:type="dxa"/>
            <w:noWrap w:val="0"/>
            <w:vAlign w:val="center"/>
          </w:tcPr>
          <w:p w14:paraId="12CFA4B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总计</w:t>
            </w:r>
          </w:p>
        </w:tc>
        <w:tc>
          <w:tcPr>
            <w:tcW w:w="5523" w:type="dxa"/>
            <w:noWrap w:val="0"/>
            <w:vAlign w:val="center"/>
          </w:tcPr>
          <w:p w14:paraId="0A5F7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  <w:t>产品评分达60分通过初次评定工作，进入综合评审阶段。</w:t>
            </w:r>
          </w:p>
        </w:tc>
        <w:tc>
          <w:tcPr>
            <w:tcW w:w="916" w:type="dxa"/>
            <w:noWrap w:val="0"/>
            <w:vAlign w:val="center"/>
          </w:tcPr>
          <w:p w14:paraId="6C6C95B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"/>
              </w:rPr>
              <w:t>100</w:t>
            </w:r>
          </w:p>
        </w:tc>
        <w:tc>
          <w:tcPr>
            <w:tcW w:w="916" w:type="dxa"/>
            <w:noWrap w:val="0"/>
            <w:vAlign w:val="center"/>
          </w:tcPr>
          <w:p w14:paraId="6FA0B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  <w:tc>
          <w:tcPr>
            <w:tcW w:w="918" w:type="dxa"/>
            <w:noWrap w:val="0"/>
            <w:vAlign w:val="center"/>
          </w:tcPr>
          <w:p w14:paraId="1EC7B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2"/>
                <w:sz w:val="18"/>
                <w:szCs w:val="18"/>
              </w:rPr>
            </w:pPr>
          </w:p>
        </w:tc>
      </w:tr>
    </w:tbl>
    <w:p w14:paraId="7DDEC4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20381C"/>
    <w:rsid w:val="1B77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customStyle="1" w:styleId="6">
    <w:name w:val="Table Text"/>
    <w:basedOn w:val="1"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1648</Words>
  <Characters>1699</Characters>
  <Lines>0</Lines>
  <Paragraphs>0</Paragraphs>
  <TotalTime>1</TotalTime>
  <ScaleCrop>false</ScaleCrop>
  <LinksUpToDate>false</LinksUpToDate>
  <CharactersWithSpaces>1709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2026-09-03T06:39:00Z</dcterms:created>
  <dc:creator>ASUS</dc:creator>
  <cp:lastModifiedBy>企业用户_455134650</cp:lastModifiedBy>
  <dcterms:modified xsi:type="dcterms:W3CDTF">2026-09-03T06:49:26Z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eyJoZGlkIjoiMTNhZjIxYzllMTEzNWJkZmExZWQxZjhmYmU2NzcxODkiLCJ1c2VySWQiOiIxNTU3NDIyMjkyIn0=</vt:lpwstr>
  </property>
  <property fmtid="{D5CDD505-2E9C-101B-9397-08002B2CF9AE}" pid="4" name="ICV">
    <vt:lpwstr>5685834297B54CD6BE71C94D6CC62A8B_12</vt:lpwstr>
  </property>
</Properties>
</file>